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33516E2F" w14:textId="77777777" w:rsidR="008E39B4" w:rsidRDefault="008E39B4" w:rsidP="00D968F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D4A7F59" w14:textId="77777777" w:rsidR="00D968F3" w:rsidRDefault="00D968F3" w:rsidP="00D968F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12 biotechnology and Cloning</w:t>
            </w:r>
          </w:p>
          <w:p w14:paraId="7F1E0F2E" w14:textId="77777777" w:rsidR="003B6A25" w:rsidRDefault="003B6A25" w:rsidP="00D968F3">
            <w:r>
              <w:t> </w:t>
            </w:r>
            <w:r>
              <w:rPr>
                <w:rFonts w:cstheme="minorHAnsi"/>
                <w:b/>
                <w:bCs/>
                <w:noProof/>
                <w:color w:val="522A5B"/>
                <w:u w:val="single"/>
              </w:rPr>
              <w:drawing>
                <wp:inline distT="0" distB="0" distL="0" distR="0" wp14:anchorId="6554EF99" wp14:editId="0678B5B3">
                  <wp:extent cx="895350" cy="4095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809B9" w14:textId="21815AB1" w:rsidR="003B6A25" w:rsidRPr="00D968F3" w:rsidRDefault="003B6A25" w:rsidP="00D968F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 </w:t>
            </w:r>
            <w:r>
              <w:rPr>
                <w:rFonts w:cstheme="minorHAnsi"/>
                <w:b/>
                <w:bCs/>
                <w:noProof/>
                <w:color w:val="522A5B"/>
                <w:u w:val="single"/>
              </w:rPr>
              <w:drawing>
                <wp:inline distT="0" distB="0" distL="0" distR="0" wp14:anchorId="7A810A92" wp14:editId="437F6DD0">
                  <wp:extent cx="542925" cy="2571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Analyse Patterns, </w:t>
            </w:r>
            <w:proofErr w:type="gramStart"/>
            <w:r>
              <w:rPr>
                <w:rFonts w:cstheme="minorHAnsi"/>
                <w:sz w:val="20"/>
                <w:szCs w:val="24"/>
              </w:rPr>
              <w:t>Draw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CF69B61" w14:textId="77777777" w:rsidR="009F1971" w:rsidRDefault="00AC3CD2" w:rsidP="003C2A0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Clone</w:t>
            </w:r>
          </w:p>
          <w:p w14:paraId="02CA6153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Adsorption</w:t>
            </w:r>
          </w:p>
          <w:p w14:paraId="29045C95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Adult Cell Cloning</w:t>
            </w:r>
          </w:p>
          <w:p w14:paraId="27609926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Bioremediation</w:t>
            </w:r>
          </w:p>
          <w:p w14:paraId="3FE00931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Callus</w:t>
            </w:r>
          </w:p>
          <w:p w14:paraId="10CD7418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Embryo Splitting</w:t>
            </w:r>
          </w:p>
          <w:p w14:paraId="34EB87A6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Entrapping</w:t>
            </w:r>
          </w:p>
          <w:p w14:paraId="4ABFB75B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Explant</w:t>
            </w:r>
          </w:p>
          <w:p w14:paraId="37EA05E9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Fermenter</w:t>
            </w:r>
          </w:p>
          <w:p w14:paraId="27F18C0B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Horticulture</w:t>
            </w:r>
          </w:p>
          <w:p w14:paraId="78965803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Meritstem</w:t>
            </w:r>
            <w:proofErr w:type="spellEnd"/>
          </w:p>
          <w:p w14:paraId="3ABB5903" w14:textId="77777777" w:rsidR="00AC3CD2" w:rsidRDefault="00AC3CD2" w:rsidP="003C2A05">
            <w:pPr>
              <w:spacing w:after="200" w:line="276" w:lineRule="auto"/>
            </w:pPr>
            <w:r>
              <w:t>Micropropagation</w:t>
            </w:r>
          </w:p>
          <w:p w14:paraId="40528D8C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Mutation</w:t>
            </w:r>
          </w:p>
          <w:p w14:paraId="3A0D1C4F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Non-reproductive cloning</w:t>
            </w:r>
          </w:p>
          <w:p w14:paraId="2403E47C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Phenotype</w:t>
            </w:r>
          </w:p>
          <w:p w14:paraId="44611E19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Plant Growth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regulagtor</w:t>
            </w:r>
            <w:proofErr w:type="spellEnd"/>
          </w:p>
          <w:p w14:paraId="5CCC6FA2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Plantlet</w:t>
            </w:r>
          </w:p>
          <w:p w14:paraId="29E38FCA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Reproductive cloning</w:t>
            </w:r>
          </w:p>
          <w:p w14:paraId="1A100E7A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Somatic Cell</w:t>
            </w:r>
          </w:p>
          <w:p w14:paraId="75082CD8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Tissue Culture</w:t>
            </w:r>
          </w:p>
          <w:p w14:paraId="55AD4218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Totipotent</w:t>
            </w:r>
          </w:p>
          <w:p w14:paraId="72CD74A6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Transgenic</w:t>
            </w:r>
          </w:p>
          <w:p w14:paraId="4F00EDA7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Triploid</w:t>
            </w:r>
          </w:p>
          <w:p w14:paraId="71AA087D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Uniformity</w:t>
            </w:r>
          </w:p>
          <w:p w14:paraId="2314A809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Variation</w:t>
            </w:r>
          </w:p>
          <w:p w14:paraId="6A7F2839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Vegetative Propagation</w:t>
            </w:r>
          </w:p>
          <w:p w14:paraId="4AAE88AE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Separation</w:t>
            </w:r>
          </w:p>
          <w:p w14:paraId="35D26664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Continuous culture</w:t>
            </w:r>
          </w:p>
          <w:p w14:paraId="632C1E98" w14:textId="77777777" w:rsidR="00AC3CD2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Batch culture</w:t>
            </w:r>
          </w:p>
          <w:p w14:paraId="49147324" w14:textId="76422902" w:rsidR="00AC3CD2" w:rsidRPr="00811F13" w:rsidRDefault="00AC3CD2" w:rsidP="003C2A05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06176381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2AD3AE1" w14:textId="08D83DAD" w:rsidR="00EF25F2" w:rsidRPr="00EF25F2" w:rsidRDefault="00EF25F2" w:rsidP="00EF25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F25F2">
              <w:rPr>
                <w:sz w:val="20"/>
                <w:szCs w:val="20"/>
              </w:rPr>
              <w:t>About natural clones in plants and the production of natural clones for use in horticulture</w:t>
            </w:r>
          </w:p>
          <w:p w14:paraId="0424548E" w14:textId="4C1CF90F" w:rsidR="00EF25F2" w:rsidRPr="00EF25F2" w:rsidRDefault="00EF25F2" w:rsidP="00EF25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F25F2">
              <w:rPr>
                <w:sz w:val="20"/>
                <w:szCs w:val="20"/>
              </w:rPr>
              <w:t>How to take plant cuttings as an example of a simple cloning technique</w:t>
            </w:r>
          </w:p>
          <w:p w14:paraId="0B4BAB53" w14:textId="43DA30F6" w:rsidR="00EF25F2" w:rsidRPr="00EF25F2" w:rsidRDefault="00EF25F2" w:rsidP="00EF25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F25F2">
              <w:rPr>
                <w:sz w:val="20"/>
                <w:szCs w:val="20"/>
              </w:rPr>
              <w:t xml:space="preserve">How to  </w:t>
            </w:r>
            <w:r w:rsidR="002B4FC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25F2">
              <w:rPr>
                <w:sz w:val="20"/>
                <w:szCs w:val="20"/>
              </w:rPr>
              <w:t>roduce</w:t>
            </w:r>
            <w:proofErr w:type="spellEnd"/>
            <w:r w:rsidRPr="00EF25F2">
              <w:rPr>
                <w:sz w:val="20"/>
                <w:szCs w:val="20"/>
              </w:rPr>
              <w:t xml:space="preserve">  artificial</w:t>
            </w:r>
            <w:proofErr w:type="gramEnd"/>
            <w:r w:rsidRPr="00EF25F2">
              <w:rPr>
                <w:sz w:val="20"/>
                <w:szCs w:val="20"/>
              </w:rPr>
              <w:t xml:space="preserve"> clones of plants by micropropagation and tissue culture</w:t>
            </w:r>
          </w:p>
          <w:p w14:paraId="7BFD50EF" w14:textId="45639574" w:rsidR="00EF25F2" w:rsidRPr="00EF25F2" w:rsidRDefault="00EF25F2" w:rsidP="00EF25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F25F2">
              <w:rPr>
                <w:sz w:val="20"/>
                <w:szCs w:val="20"/>
              </w:rPr>
              <w:t>The arguments for and against artificial cloning in plants</w:t>
            </w:r>
          </w:p>
          <w:p w14:paraId="429908EF" w14:textId="1C5A83C8" w:rsidR="00EF25F2" w:rsidRPr="00EF25F2" w:rsidRDefault="00EF25F2" w:rsidP="00EF25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F25F2">
              <w:rPr>
                <w:sz w:val="20"/>
                <w:szCs w:val="20"/>
              </w:rPr>
              <w:t xml:space="preserve">How artificial clones in animals can be produced by artificial embryo twinning or by enucleation and somatic cell nuclear transfer (SCNT) </w:t>
            </w:r>
            <w:proofErr w:type="gramStart"/>
            <w:r w:rsidRPr="00EF25F2">
              <w:rPr>
                <w:sz w:val="20"/>
                <w:szCs w:val="20"/>
              </w:rPr>
              <w:t>and  the</w:t>
            </w:r>
            <w:proofErr w:type="gramEnd"/>
            <w:r w:rsidRPr="00EF25F2">
              <w:rPr>
                <w:sz w:val="20"/>
                <w:szCs w:val="20"/>
              </w:rPr>
              <w:t xml:space="preserve"> arguments for and against artificial cloning in animals</w:t>
            </w:r>
          </w:p>
          <w:p w14:paraId="009A5E4E" w14:textId="242F8683" w:rsidR="00EF25F2" w:rsidRPr="00EF25F2" w:rsidRDefault="00EF25F2" w:rsidP="00EF25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F25F2">
              <w:rPr>
                <w:sz w:val="20"/>
                <w:szCs w:val="20"/>
              </w:rPr>
              <w:t xml:space="preserve">The use of microorganisms in biotechnological processes </w:t>
            </w:r>
            <w:proofErr w:type="gramStart"/>
            <w:r w:rsidRPr="00EF25F2">
              <w:rPr>
                <w:sz w:val="20"/>
                <w:szCs w:val="20"/>
              </w:rPr>
              <w:t>and  the</w:t>
            </w:r>
            <w:proofErr w:type="gramEnd"/>
            <w:r w:rsidRPr="00EF25F2">
              <w:rPr>
                <w:sz w:val="20"/>
                <w:szCs w:val="20"/>
              </w:rPr>
              <w:t xml:space="preserve"> advantages and disadvantages of using microorganisms to make food for human consumption</w:t>
            </w:r>
          </w:p>
          <w:p w14:paraId="5B6AB4A4" w14:textId="413954D5" w:rsidR="00EF25F2" w:rsidRPr="00EF25F2" w:rsidRDefault="00EF25F2" w:rsidP="00EF25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F25F2">
              <w:rPr>
                <w:sz w:val="20"/>
                <w:szCs w:val="20"/>
              </w:rPr>
              <w:t xml:space="preserve">How to culture microorganisms effectively, using aseptic techniques </w:t>
            </w:r>
            <w:proofErr w:type="gramStart"/>
            <w:r w:rsidRPr="00EF25F2">
              <w:rPr>
                <w:sz w:val="20"/>
                <w:szCs w:val="20"/>
              </w:rPr>
              <w:t>and  the</w:t>
            </w:r>
            <w:proofErr w:type="gramEnd"/>
            <w:r w:rsidRPr="00EF25F2">
              <w:rPr>
                <w:sz w:val="20"/>
                <w:szCs w:val="20"/>
              </w:rPr>
              <w:t xml:space="preserve"> importance of manipulating the growing conditions in batch and continuous fermentation in order to maximise the yield of product required</w:t>
            </w:r>
          </w:p>
          <w:p w14:paraId="66B3A3F0" w14:textId="538CA74D" w:rsidR="00EF25F2" w:rsidRPr="00EF25F2" w:rsidRDefault="00EF25F2" w:rsidP="00EF25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F25F2">
              <w:rPr>
                <w:sz w:val="20"/>
                <w:szCs w:val="20"/>
              </w:rPr>
              <w:t>The standard growth curve of a microorganism in a closed culture</w:t>
            </w:r>
          </w:p>
          <w:p w14:paraId="29166B4C" w14:textId="1C90A66F" w:rsidR="00EF25F2" w:rsidRPr="00EF25F2" w:rsidRDefault="00EF25F2" w:rsidP="00EF25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F25F2">
              <w:rPr>
                <w:sz w:val="20"/>
                <w:szCs w:val="20"/>
              </w:rPr>
              <w:t xml:space="preserve">Practical investigations into the factors affecting the growth of microorganisms </w:t>
            </w:r>
          </w:p>
          <w:p w14:paraId="64007B14" w14:textId="639A09BC" w:rsidR="00EF25F2" w:rsidRPr="00EF25F2" w:rsidRDefault="00EF25F2" w:rsidP="00EF25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F25F2">
              <w:rPr>
                <w:sz w:val="20"/>
                <w:szCs w:val="20"/>
              </w:rPr>
              <w:t>The uses of immobilised enzymes in biotechnology and the different methods of immobilisation.</w:t>
            </w:r>
          </w:p>
          <w:p w14:paraId="58409EB7" w14:textId="49E88736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8980765" w14:textId="7B60934A" w:rsidR="002B4FC9" w:rsidRPr="002B4FC9" w:rsidRDefault="002B4FC9" w:rsidP="002B4FC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2FF89C6" w14:textId="77777777" w:rsidR="002B4FC9" w:rsidRDefault="002B4FC9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65801338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0E194795" w14:textId="312DECF7" w:rsidR="00CD34F0" w:rsidRDefault="00CD34F0" w:rsidP="00CD34F0">
            <w:r>
              <w:t xml:space="preserve">Agriculture     Biochemistry  </w:t>
            </w:r>
            <w:r w:rsidR="002B4FC9">
              <w:t xml:space="preserve"> </w:t>
            </w:r>
            <w:r>
              <w:t xml:space="preserve">Biotechnology  </w:t>
            </w:r>
            <w:r w:rsidR="002B4FC9">
              <w:t xml:space="preserve"> </w:t>
            </w:r>
            <w:r>
              <w:t xml:space="preserve">Brewing    Food </w:t>
            </w:r>
            <w:proofErr w:type="gramStart"/>
            <w:r>
              <w:t>Science  Forensics</w:t>
            </w:r>
            <w:proofErr w:type="gramEnd"/>
            <w:r>
              <w:t xml:space="preserve">  Horticulture  Laboratory Work  Medicine  Pharmacology  Teaching  </w:t>
            </w:r>
          </w:p>
          <w:p w14:paraId="7D6E4254" w14:textId="77777777" w:rsidR="00CD34F0" w:rsidRPr="00351843" w:rsidRDefault="00CD34F0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lastRenderedPageBreak/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AC3CD2" w:rsidP="008E39B4"/>
    <w:sectPr w:rsidR="0053445E" w:rsidSect="00A23F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13FFB" w14:textId="77777777" w:rsidR="00665FB6" w:rsidRDefault="00665FB6" w:rsidP="00017B74">
      <w:pPr>
        <w:spacing w:after="0" w:line="240" w:lineRule="auto"/>
      </w:pPr>
      <w:r>
        <w:separator/>
      </w:r>
    </w:p>
  </w:endnote>
  <w:endnote w:type="continuationSeparator" w:id="0">
    <w:p w14:paraId="59EBCA2F" w14:textId="77777777" w:rsidR="00665FB6" w:rsidRDefault="00665FB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57D84" w14:textId="77777777" w:rsidR="00665FB6" w:rsidRDefault="00665FB6" w:rsidP="00017B74">
      <w:pPr>
        <w:spacing w:after="0" w:line="240" w:lineRule="auto"/>
      </w:pPr>
      <w:r>
        <w:separator/>
      </w:r>
    </w:p>
  </w:footnote>
  <w:footnote w:type="continuationSeparator" w:id="0">
    <w:p w14:paraId="633A0CE2" w14:textId="77777777" w:rsidR="00665FB6" w:rsidRDefault="00665FB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295819"/>
    <w:multiLevelType w:val="hybridMultilevel"/>
    <w:tmpl w:val="01A2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409B4"/>
    <w:multiLevelType w:val="hybridMultilevel"/>
    <w:tmpl w:val="E4C03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600A6"/>
    <w:multiLevelType w:val="hybridMultilevel"/>
    <w:tmpl w:val="2942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D6C87"/>
    <w:rsid w:val="00227ECC"/>
    <w:rsid w:val="002B0167"/>
    <w:rsid w:val="002B4FC9"/>
    <w:rsid w:val="00307541"/>
    <w:rsid w:val="00351843"/>
    <w:rsid w:val="003B6A25"/>
    <w:rsid w:val="003C2A05"/>
    <w:rsid w:val="003D3C0A"/>
    <w:rsid w:val="003E6B6F"/>
    <w:rsid w:val="00440E6C"/>
    <w:rsid w:val="00487E07"/>
    <w:rsid w:val="004C3F18"/>
    <w:rsid w:val="004C534E"/>
    <w:rsid w:val="004D7B1F"/>
    <w:rsid w:val="0052634F"/>
    <w:rsid w:val="00530FB1"/>
    <w:rsid w:val="005949E3"/>
    <w:rsid w:val="005F2B3F"/>
    <w:rsid w:val="005F4E99"/>
    <w:rsid w:val="00631579"/>
    <w:rsid w:val="00656A56"/>
    <w:rsid w:val="00665FB6"/>
    <w:rsid w:val="006E3E72"/>
    <w:rsid w:val="007146EF"/>
    <w:rsid w:val="007812DF"/>
    <w:rsid w:val="007D3502"/>
    <w:rsid w:val="00811F13"/>
    <w:rsid w:val="0083335D"/>
    <w:rsid w:val="00847F4E"/>
    <w:rsid w:val="00867D25"/>
    <w:rsid w:val="008B1952"/>
    <w:rsid w:val="008E39B4"/>
    <w:rsid w:val="009A7682"/>
    <w:rsid w:val="009F1971"/>
    <w:rsid w:val="00A23F48"/>
    <w:rsid w:val="00A314F1"/>
    <w:rsid w:val="00AC3CD2"/>
    <w:rsid w:val="00B16723"/>
    <w:rsid w:val="00BA166B"/>
    <w:rsid w:val="00BA646E"/>
    <w:rsid w:val="00C60740"/>
    <w:rsid w:val="00C83FDD"/>
    <w:rsid w:val="00CA59AB"/>
    <w:rsid w:val="00CC3584"/>
    <w:rsid w:val="00CC4BCA"/>
    <w:rsid w:val="00CD34F0"/>
    <w:rsid w:val="00CE4B8B"/>
    <w:rsid w:val="00D968F3"/>
    <w:rsid w:val="00DB0006"/>
    <w:rsid w:val="00DC23A5"/>
    <w:rsid w:val="00E3698E"/>
    <w:rsid w:val="00E5371A"/>
    <w:rsid w:val="00EF25F2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941CE-5968-40E0-8C9B-2D5717E814AA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16</cp:revision>
  <cp:lastPrinted>2022-05-09T09:04:00Z</cp:lastPrinted>
  <dcterms:created xsi:type="dcterms:W3CDTF">2022-06-16T11:02:00Z</dcterms:created>
  <dcterms:modified xsi:type="dcterms:W3CDTF">2022-10-17T15:03:00Z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